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76" w:rsidRDefault="00CA0076" w:rsidP="00CA0076">
      <w:pPr>
        <w:pStyle w:val="NormalWeb"/>
        <w:jc w:val="right"/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</w:pPr>
      <w:r w:rsidRPr="00733CEB">
        <w:rPr>
          <w:rFonts w:ascii="Palatino Linotype" w:hAnsi="Palatino Linotype" w:cs="Arial"/>
          <w:b/>
        </w:rPr>
        <w:t>CRITERIO REITERADO 06</w:t>
      </w:r>
      <w:r>
        <w:rPr>
          <w:rFonts w:ascii="Palatino Linotype" w:hAnsi="Palatino Linotype" w:cs="Arial"/>
          <w:b/>
        </w:rPr>
        <w:t>/24</w:t>
      </w:r>
    </w:p>
    <w:p w:rsidR="00CA0076" w:rsidRDefault="00CA0076" w:rsidP="00CA0076">
      <w:pPr>
        <w:pStyle w:val="NormalWeb"/>
        <w:jc w:val="both"/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</w:pPr>
    </w:p>
    <w:p w:rsidR="00CA0076" w:rsidRPr="00335DEB" w:rsidRDefault="00CA0076" w:rsidP="00CA0076">
      <w:pPr>
        <w:pStyle w:val="NormalWeb"/>
        <w:jc w:val="both"/>
        <w:rPr>
          <w:rFonts w:ascii="Palatino Linotype" w:hAnsi="Palatino Linotype"/>
          <w:b/>
          <w:bCs/>
          <w:color w:val="FF0000"/>
          <w:sz w:val="23"/>
          <w:szCs w:val="23"/>
          <w:lang w:val="es-ES"/>
        </w:rPr>
      </w:pPr>
      <w:r w:rsidRPr="0068536B"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  <w:t>RESULTADO</w:t>
      </w:r>
      <w:r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  <w:t xml:space="preserve"> GLOBAL</w:t>
      </w:r>
      <w:r w:rsidRPr="0068536B"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  <w:t xml:space="preserve"> DE EVALUACIONES DE EXAMEN DE CONTROL DE CONFIANZA</w:t>
      </w:r>
      <w:r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  <w:t>. DOCUMENTO</w:t>
      </w:r>
      <w:r w:rsidRPr="0068536B">
        <w:rPr>
          <w:rFonts w:ascii="Palatino Linotype" w:hAnsi="Palatino Linotype"/>
          <w:b/>
          <w:bCs/>
          <w:color w:val="000000"/>
          <w:sz w:val="23"/>
          <w:szCs w:val="23"/>
          <w:lang w:val="es-ES"/>
        </w:rPr>
        <w:t xml:space="preserve"> DE CARÁCTER PÚBLICO. 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>El resultado de los procesos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de cada etapa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y los expedientes respecto a las evaluaciones de control de confianza, son confidenciales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>;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sin embargo,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será público el resultado global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correspondiente a que el servidor público haya 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>“Aprobado” o “No Aprobado”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la evaluación, 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pues es de interés público 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>conocer si</w:t>
      </w:r>
      <w:r w:rsidRPr="0068536B"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 </w:t>
      </w:r>
      <w:r>
        <w:rPr>
          <w:rFonts w:ascii="Palatino Linotype" w:hAnsi="Palatino Linotype"/>
          <w:bCs/>
          <w:color w:val="000000"/>
          <w:sz w:val="23"/>
          <w:szCs w:val="23"/>
          <w:lang w:val="es-ES"/>
        </w:rPr>
        <w:t xml:space="preserve">los servidores públicos contratados </w:t>
      </w:r>
      <w:r w:rsidRPr="00733CEB">
        <w:rPr>
          <w:rFonts w:ascii="Palatino Linotype" w:hAnsi="Palatino Linotype"/>
          <w:bCs/>
          <w:sz w:val="23"/>
          <w:szCs w:val="23"/>
          <w:lang w:val="es-ES"/>
        </w:rPr>
        <w:t xml:space="preserve">cumplen con los requisitos legales para el ingreso y permanencia en el servicio público, </w:t>
      </w:r>
      <w:r w:rsidRPr="00733CEB">
        <w:rPr>
          <w:rFonts w:ascii="Palatino Linotype" w:hAnsi="Palatino Linotype"/>
          <w:sz w:val="23"/>
          <w:szCs w:val="23"/>
          <w:lang w:val="es-ES"/>
        </w:rPr>
        <w:t>de conformidad con lo dispuesto por el artículo 109, de la Ley de Seguridad del Estado de México.</w:t>
      </w:r>
    </w:p>
    <w:p w:rsidR="00CA0076" w:rsidRDefault="00CA0076" w:rsidP="00CA0076">
      <w:pPr>
        <w:jc w:val="both"/>
        <w:rPr>
          <w:rFonts w:ascii="Palatino Linotype" w:hAnsi="Palatino Linotype"/>
          <w:b/>
        </w:rPr>
      </w:pPr>
      <w:r w:rsidRPr="00F3747B">
        <w:rPr>
          <w:rFonts w:ascii="Palatino Linotype" w:hAnsi="Palatino Linotype"/>
          <w:b/>
        </w:rPr>
        <w:t xml:space="preserve">Precedente: </w:t>
      </w:r>
    </w:p>
    <w:p w:rsidR="00E568F5" w:rsidRPr="00F3747B" w:rsidRDefault="00E568F5" w:rsidP="00CA0076">
      <w:pPr>
        <w:jc w:val="both"/>
        <w:rPr>
          <w:rFonts w:ascii="Palatino Linotype" w:hAnsi="Palatino Linotype"/>
          <w:b/>
        </w:rPr>
      </w:pPr>
    </w:p>
    <w:p w:rsidR="00CA0076" w:rsidRPr="00065BEB" w:rsidRDefault="00CA0076" w:rsidP="00CA007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065BEB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065BEB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07886/INFOEM/IP/RR/2023</w:t>
      </w:r>
      <w:r w:rsidRPr="00065BEB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votos. </w:t>
      </w:r>
      <w:r w:rsidRPr="00065BEB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Ayuntamiento de Toluca</w:t>
      </w:r>
      <w:r w:rsidRPr="00065BEB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Comisionado Ponente Luis Gustavo Parra Noriega. Sesión 02 – 2024.</w:t>
      </w:r>
    </w:p>
    <w:p w:rsidR="00CA0076" w:rsidRPr="00C639D4" w:rsidRDefault="00CA0076" w:rsidP="00CA007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065BEB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065BEB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02211/INFOEM/IP/RR/2023</w:t>
      </w:r>
      <w:r w:rsidRPr="00065BEB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</w:t>
      </w: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unanimidad de votos.</w:t>
      </w:r>
      <w:r w:rsidRPr="00C639D4">
        <w:rPr>
          <w:rFonts w:ascii="Palatino Linotype" w:hAnsi="Palatino Linotype"/>
          <w:sz w:val="24"/>
          <w:szCs w:val="24"/>
        </w:rPr>
        <w:t xml:space="preserve"> </w:t>
      </w:r>
      <w:r w:rsidRPr="00C639D4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Ayuntamiento de Ixtapan de la Sal</w:t>
      </w: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Comisionado Ponente Luis Gustavo Parra Noriega. Sesión 04 – 2024.</w:t>
      </w:r>
    </w:p>
    <w:p w:rsidR="00CA0076" w:rsidRPr="00C639D4" w:rsidRDefault="00CA0076" w:rsidP="00CA007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C639D4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08084/INFOEM/IP/RR/2023</w:t>
      </w: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votos, emitiendo voto particular concurrente los Comisionados Guadalupe Ramírez Peña y Luis Gustavo Parra Noriega. </w:t>
      </w:r>
      <w:r w:rsidRPr="00C639D4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Ayuntamiento de Chalco</w:t>
      </w: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Comisionada Ponente </w:t>
      </w:r>
      <w:r w:rsidRPr="00C639D4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Guadalupe Ramírez Peña</w:t>
      </w:r>
      <w:r w:rsidRPr="00C639D4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06 – 2024.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117"/>
      </w:tblGrid>
      <w:tr w:rsidR="007B4A5F" w:rsidRPr="00C639D4" w:rsidTr="00967E63">
        <w:trPr>
          <w:trHeight w:val="185"/>
          <w:jc w:val="center"/>
        </w:trPr>
        <w:tc>
          <w:tcPr>
            <w:tcW w:w="4117" w:type="dxa"/>
          </w:tcPr>
          <w:p w:rsidR="007B4A5F" w:rsidRPr="00C639D4" w:rsidRDefault="007B4A5F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C639D4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Tercera Época</w:t>
            </w:r>
          </w:p>
        </w:tc>
        <w:tc>
          <w:tcPr>
            <w:tcW w:w="4117" w:type="dxa"/>
          </w:tcPr>
          <w:p w:rsidR="007B4A5F" w:rsidRPr="00C639D4" w:rsidRDefault="007B4A5F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C639D4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Criterio Reiterado 06/2024</w:t>
            </w:r>
          </w:p>
        </w:tc>
      </w:tr>
      <w:tr w:rsidR="007B4A5F" w:rsidRPr="00C639D4" w:rsidTr="00967E63">
        <w:trPr>
          <w:trHeight w:val="185"/>
          <w:jc w:val="center"/>
        </w:trPr>
        <w:tc>
          <w:tcPr>
            <w:tcW w:w="4117" w:type="dxa"/>
          </w:tcPr>
          <w:p w:rsidR="007B4A5F" w:rsidRPr="00C639D4" w:rsidRDefault="007B4A5F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117" w:type="dxa"/>
          </w:tcPr>
          <w:p w:rsidR="007B4A5F" w:rsidRPr="00C639D4" w:rsidRDefault="007B4A5F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7B4A5F" w:rsidRPr="00C639D4" w:rsidRDefault="007B4A5F" w:rsidP="007B4A5F">
      <w:pPr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</w:p>
    <w:bookmarkStart w:id="0" w:name="_GoBack"/>
    <w:p w:rsidR="00FD6ABF" w:rsidRPr="001162F3" w:rsidRDefault="001162F3" w:rsidP="00C639D4">
      <w:pPr>
        <w:jc w:val="center"/>
        <w:rPr>
          <w:rFonts w:ascii="Palatino Linotype" w:hAnsi="Palatino Linotype"/>
          <w:sz w:val="20"/>
        </w:rPr>
      </w:pPr>
      <w:r w:rsidRPr="001162F3">
        <w:rPr>
          <w:rStyle w:val="Hipervnculo"/>
          <w:rFonts w:ascii="Palatino Linotype" w:hAnsi="Palatino Linotype"/>
          <w:sz w:val="20"/>
        </w:rPr>
        <w:fldChar w:fldCharType="begin"/>
      </w:r>
      <w:r w:rsidRPr="001162F3">
        <w:rPr>
          <w:rStyle w:val="Hipervnculo"/>
          <w:rFonts w:ascii="Palatino Linotype" w:hAnsi="Palatino Linotype"/>
          <w:sz w:val="20"/>
        </w:rPr>
        <w:instrText xml:space="preserve"> HYPERLINK "https://legislacion.edomex.gob.mx/sites/legislacion.edomex.gob.mx/files/files/pdf/gct/2024/abril/abr161/abr161d.pdf" </w:instrText>
      </w:r>
      <w:r w:rsidRPr="001162F3">
        <w:rPr>
          <w:rStyle w:val="Hipervnculo"/>
          <w:rFonts w:ascii="Palatino Linotype" w:hAnsi="Palatino Linotype"/>
          <w:sz w:val="20"/>
        </w:rPr>
        <w:fldChar w:fldCharType="separate"/>
      </w:r>
      <w:r w:rsidR="00C639D4" w:rsidRPr="001162F3">
        <w:rPr>
          <w:rStyle w:val="Hipervnculo"/>
          <w:rFonts w:ascii="Palatino Linotype" w:hAnsi="Palatino Linotype"/>
          <w:sz w:val="20"/>
        </w:rPr>
        <w:t>https://legislacion.edomex.gob.mx/sites/legislacion.edomex.gob.mx/files/files/pdf/gct/2024/abril/abr161/abr161d.pdf</w:t>
      </w:r>
      <w:r w:rsidRPr="001162F3">
        <w:rPr>
          <w:rStyle w:val="Hipervnculo"/>
          <w:rFonts w:ascii="Palatino Linotype" w:hAnsi="Palatino Linotype"/>
          <w:sz w:val="20"/>
        </w:rPr>
        <w:fldChar w:fldCharType="end"/>
      </w:r>
      <w:bookmarkEnd w:id="0"/>
    </w:p>
    <w:sectPr w:rsidR="00FD6ABF" w:rsidRPr="001162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674"/>
    <w:multiLevelType w:val="hybridMultilevel"/>
    <w:tmpl w:val="FD5A2D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76"/>
    <w:rsid w:val="001162F3"/>
    <w:rsid w:val="007B4A5F"/>
    <w:rsid w:val="00C639D4"/>
    <w:rsid w:val="00CA0076"/>
    <w:rsid w:val="00E568F5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63050-E258-4D13-B46A-FAA5E045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76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CA0076"/>
    <w:rPr>
      <w:rFonts w:ascii="Cambria" w:hAnsi="Cambria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CA0076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CA00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3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2024-04-09T17:50:00Z</dcterms:created>
  <dcterms:modified xsi:type="dcterms:W3CDTF">2024-04-16T18:32:00Z</dcterms:modified>
</cp:coreProperties>
</file>